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E2" w:rsidRDefault="00304B1B">
      <w:pPr>
        <w:ind w:left="-5"/>
      </w:pPr>
      <w:r>
        <w:t xml:space="preserve">  </w:t>
      </w:r>
    </w:p>
    <w:p w:rsidR="00304B1B" w:rsidRDefault="00304B1B">
      <w:pPr>
        <w:ind w:left="-5"/>
        <w:rPr>
          <w:rFonts w:ascii="Century Gothic" w:hAnsi="Century Gothic"/>
          <w:szCs w:val="24"/>
        </w:rPr>
      </w:pPr>
      <w:r w:rsidRPr="00304B1B">
        <w:rPr>
          <w:rFonts w:ascii="Century Gothic" w:hAnsi="Century Gothic"/>
          <w:szCs w:val="24"/>
        </w:rPr>
        <w:t xml:space="preserve">Tätigkeitsbereiche für eine erweiterte Notfallbetreuung </w:t>
      </w:r>
    </w:p>
    <w:p w:rsidR="001C24E2" w:rsidRPr="00304B1B" w:rsidRDefault="00304B1B">
      <w:pPr>
        <w:ind w:left="-5"/>
        <w:rPr>
          <w:rFonts w:ascii="Century Gothic" w:hAnsi="Century Gothic"/>
          <w:b/>
          <w:bCs/>
          <w:szCs w:val="24"/>
          <w:u w:val="single"/>
        </w:rPr>
      </w:pPr>
      <w:r w:rsidRPr="00304B1B">
        <w:rPr>
          <w:rFonts w:ascii="Century Gothic" w:hAnsi="Century Gothic"/>
          <w:b/>
          <w:bCs/>
          <w:szCs w:val="24"/>
          <w:u w:val="single"/>
        </w:rPr>
        <w:t xml:space="preserve">ab </w:t>
      </w:r>
      <w:r>
        <w:rPr>
          <w:rFonts w:ascii="Century Gothic" w:hAnsi="Century Gothic"/>
          <w:b/>
          <w:bCs/>
          <w:szCs w:val="24"/>
          <w:u w:val="single"/>
        </w:rPr>
        <w:t xml:space="preserve">DO, </w:t>
      </w:r>
      <w:r w:rsidRPr="00304B1B">
        <w:rPr>
          <w:rFonts w:ascii="Century Gothic" w:hAnsi="Century Gothic"/>
          <w:b/>
          <w:bCs/>
          <w:szCs w:val="24"/>
          <w:u w:val="single"/>
        </w:rPr>
        <w:t xml:space="preserve">23. April 2020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 </w:t>
      </w:r>
    </w:p>
    <w:tbl>
      <w:tblPr>
        <w:tblStyle w:val="TableGrid"/>
        <w:tblW w:w="8930" w:type="dxa"/>
        <w:tblInd w:w="5" w:type="dxa"/>
        <w:tblCellMar>
          <w:top w:w="94" w:type="dxa"/>
          <w:left w:w="58" w:type="dxa"/>
          <w:bottom w:w="94" w:type="dxa"/>
          <w:right w:w="32" w:type="dxa"/>
        </w:tblCellMar>
        <w:tblLook w:val="04A0"/>
      </w:tblPr>
      <w:tblGrid>
        <w:gridCol w:w="2688"/>
        <w:gridCol w:w="6242"/>
      </w:tblGrid>
      <w:tr w:rsidR="001C24E2" w:rsidRPr="00304B1B">
        <w:trPr>
          <w:trHeight w:val="710"/>
        </w:trPr>
        <w:tc>
          <w:tcPr>
            <w:tcW w:w="2616" w:type="dxa"/>
            <w:tcBorders>
              <w:top w:val="single" w:sz="4" w:space="0" w:color="000000"/>
              <w:left w:val="single" w:sz="4" w:space="0" w:color="000000"/>
              <w:bottom w:val="single" w:sz="4" w:space="0" w:color="000000"/>
              <w:right w:val="single" w:sz="4" w:space="0" w:color="000000"/>
            </w:tcBorders>
            <w:vAlign w:val="bottom"/>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Wirtschaftsabteilungen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Zugeordnete Tätigkeitsbereiche für eine erforderliche Notfallbetreuung für Kinder </w:t>
            </w:r>
          </w:p>
        </w:tc>
      </w:tr>
      <w:tr w:rsidR="001C24E2" w:rsidRPr="00304B1B">
        <w:trPr>
          <w:trHeight w:val="444"/>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Abwasserentsorgung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Entsorgung (Abwasserbeseitigung, Müllentsorgung) </w:t>
            </w:r>
          </w:p>
        </w:tc>
      </w:tr>
      <w:tr w:rsidR="001C24E2" w:rsidRPr="00304B1B">
        <w:trPr>
          <w:trHeight w:val="869"/>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Einzelhandel mit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Motorenkraftstoffen </w:t>
            </w:r>
          </w:p>
          <w:p w:rsidR="001C24E2" w:rsidRPr="00304B1B" w:rsidRDefault="00304B1B">
            <w:pPr>
              <w:ind w:left="0" w:firstLine="0"/>
              <w:rPr>
                <w:rFonts w:ascii="Century Gothic" w:hAnsi="Century Gothic"/>
                <w:szCs w:val="24"/>
              </w:rPr>
            </w:pPr>
            <w:r w:rsidRPr="00304B1B">
              <w:rPr>
                <w:rFonts w:ascii="Century Gothic" w:hAnsi="Century Gothic"/>
                <w:szCs w:val="24"/>
              </w:rPr>
              <w:t>(Tankstellen)</w:t>
            </w:r>
            <w:r w:rsidRPr="00304B1B">
              <w:rPr>
                <w:rFonts w:ascii="Century Gothic" w:hAnsi="Century Gothic"/>
                <w:color w:val="656F77"/>
                <w:szCs w:val="24"/>
              </w:rPr>
              <w:t xml:space="preserve"> </w:t>
            </w:r>
          </w:p>
        </w:tc>
        <w:tc>
          <w:tcPr>
            <w:tcW w:w="6314"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Energieversorgung einschließlich Tankstellen und Mineralölunternehmen,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Logistik sowie die Wartung / Installation von Anlagen / Netzen </w:t>
            </w:r>
          </w:p>
        </w:tc>
      </w:tr>
      <w:tr w:rsidR="001C24E2" w:rsidRPr="00304B1B">
        <w:trPr>
          <w:trHeight w:val="2297"/>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Einzelhandel mit Nahrungs- und Genussmitteln, Getränken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und Tabakwaren (in Verkaufsräumen)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Ernährungswirtschaft und Land-/Vieh-/ Fischereiwirtschaft einschließlich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der vollständigen Lieferketten (Landwirte, Erntehelfer, Produktion,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Verarbeitung, Handel, Vertrieb) </w:t>
            </w:r>
          </w:p>
          <w:p w:rsidR="001C24E2" w:rsidRPr="00304B1B" w:rsidRDefault="00304B1B">
            <w:pPr>
              <w:spacing w:line="277" w:lineRule="auto"/>
              <w:ind w:left="0" w:firstLine="0"/>
              <w:rPr>
                <w:rFonts w:ascii="Century Gothic" w:hAnsi="Century Gothic"/>
                <w:szCs w:val="24"/>
              </w:rPr>
            </w:pPr>
            <w:r w:rsidRPr="00304B1B">
              <w:rPr>
                <w:rFonts w:ascii="Century Gothic" w:hAnsi="Century Gothic"/>
                <w:szCs w:val="24"/>
              </w:rPr>
              <w:t xml:space="preserve">· Lebensmitteleinzelhandel und -großhandel (Verkaufs-, Lager- und Logistikpersonal) </w:t>
            </w:r>
          </w:p>
          <w:p w:rsidR="001C24E2" w:rsidRPr="00304B1B" w:rsidRDefault="00304B1B">
            <w:pPr>
              <w:spacing w:line="275" w:lineRule="auto"/>
              <w:ind w:left="0" w:firstLine="0"/>
              <w:jc w:val="both"/>
              <w:rPr>
                <w:rFonts w:ascii="Century Gothic" w:hAnsi="Century Gothic"/>
                <w:szCs w:val="24"/>
              </w:rPr>
            </w:pPr>
            <w:r w:rsidRPr="00304B1B">
              <w:rPr>
                <w:rFonts w:ascii="Century Gothic" w:hAnsi="Century Gothic"/>
                <w:szCs w:val="24"/>
              </w:rPr>
              <w:t xml:space="preserve">· Herstellung und Vertrieb von Hygieneprodukten, Desinfektionsmitteln und Seifen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 Drogerien (Verkaufs-, Lager- und Logistikpersonal) </w:t>
            </w:r>
          </w:p>
        </w:tc>
      </w:tr>
      <w:tr w:rsidR="001C24E2" w:rsidRPr="00304B1B">
        <w:trPr>
          <w:trHeight w:val="708"/>
        </w:trPr>
        <w:tc>
          <w:tcPr>
            <w:tcW w:w="2616"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Energieversorgung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7"/>
              <w:ind w:left="0" w:firstLine="0"/>
              <w:rPr>
                <w:rFonts w:ascii="Century Gothic" w:hAnsi="Century Gothic"/>
                <w:szCs w:val="24"/>
              </w:rPr>
            </w:pPr>
            <w:r w:rsidRPr="00304B1B">
              <w:rPr>
                <w:rFonts w:ascii="Century Gothic" w:hAnsi="Century Gothic"/>
                <w:szCs w:val="24"/>
              </w:rPr>
              <w:t xml:space="preserve">· Energieversorgung einschließlich Tankstellen und Mineralölunternehmen,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Logistik sowie die Wartung / Installation von Anlagen / Netzen </w:t>
            </w:r>
          </w:p>
        </w:tc>
      </w:tr>
      <w:tr w:rsidR="001C24E2" w:rsidRPr="00304B1B">
        <w:trPr>
          <w:trHeight w:val="1238"/>
        </w:trPr>
        <w:tc>
          <w:tcPr>
            <w:tcW w:w="2616"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Erbringung von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Dienstleistungen der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Informationstechnologie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line="275" w:lineRule="auto"/>
              <w:ind w:left="0" w:firstLine="0"/>
              <w:rPr>
                <w:rFonts w:ascii="Century Gothic" w:hAnsi="Century Gothic"/>
                <w:szCs w:val="24"/>
              </w:rPr>
            </w:pPr>
            <w:r w:rsidRPr="00304B1B">
              <w:rPr>
                <w:rFonts w:ascii="Century Gothic" w:hAnsi="Century Gothic"/>
                <w:szCs w:val="24"/>
              </w:rPr>
              <w:t xml:space="preserve">· sicherheitsrelevante IT-Infrastruktur (insb. Einrichtungen zur Entstörung und Aufrechterhaltung der Netze)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Informationstechnikzentrum Bund (ITZBund)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 Software (systemrelevante Hersteller, Dienstleister) </w:t>
            </w:r>
          </w:p>
        </w:tc>
      </w:tr>
      <w:tr w:rsidR="001C24E2" w:rsidRPr="00304B1B">
        <w:trPr>
          <w:trHeight w:val="708"/>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Erbringung von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Finanzdienstleistungen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Banken und Sparkassen (Bargeldversorgung, -logistik, Kreditversorgung der Unternehmen, Geldautomatensysteme) und Steuerberater </w:t>
            </w:r>
          </w:p>
        </w:tc>
      </w:tr>
      <w:tr w:rsidR="001C24E2" w:rsidRPr="00304B1B">
        <w:trPr>
          <w:trHeight w:val="1238"/>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line="275" w:lineRule="auto"/>
              <w:ind w:left="0" w:right="1" w:firstLine="0"/>
              <w:jc w:val="both"/>
              <w:rPr>
                <w:rFonts w:ascii="Century Gothic" w:hAnsi="Century Gothic"/>
                <w:szCs w:val="24"/>
              </w:rPr>
            </w:pPr>
            <w:r w:rsidRPr="00304B1B">
              <w:rPr>
                <w:rFonts w:ascii="Century Gothic" w:hAnsi="Century Gothic"/>
                <w:szCs w:val="24"/>
              </w:rPr>
              <w:t xml:space="preserve">Forschung und Entwicklung im Bereich Natur-, Ingenieur-, </w:t>
            </w:r>
          </w:p>
          <w:p w:rsidR="001C24E2" w:rsidRPr="00304B1B" w:rsidRDefault="00304B1B">
            <w:pPr>
              <w:spacing w:after="17"/>
              <w:ind w:left="0" w:firstLine="0"/>
              <w:rPr>
                <w:rFonts w:ascii="Century Gothic" w:hAnsi="Century Gothic"/>
                <w:szCs w:val="24"/>
              </w:rPr>
            </w:pPr>
            <w:r w:rsidRPr="00304B1B">
              <w:rPr>
                <w:rFonts w:ascii="Century Gothic" w:hAnsi="Century Gothic"/>
                <w:szCs w:val="24"/>
              </w:rPr>
              <w:t xml:space="preserve">Agrarwissenschaften und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Medizin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Hochschulen und sonstige wissenschaftlichen Einrichtungen, soweit zuständig für den Betrieb von sicherheitsrelevanten Einrichtungen oder unverzichtbaren Aufgaben und für Forschung und Entwicklung zu der jeweiligen Krisenlage </w:t>
            </w:r>
          </w:p>
        </w:tc>
      </w:tr>
      <w:tr w:rsidR="001C24E2" w:rsidRPr="00304B1B">
        <w:trPr>
          <w:trHeight w:val="5206"/>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lastRenderedPageBreak/>
              <w:t xml:space="preserve">Gesundheitswesen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Krankenhäuser und medizinische Fakultäten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-Pflegeeinrichtungen </w:t>
            </w:r>
          </w:p>
          <w:p w:rsidR="001C24E2" w:rsidRPr="00304B1B" w:rsidRDefault="00304B1B">
            <w:pPr>
              <w:spacing w:after="2" w:line="275" w:lineRule="auto"/>
              <w:ind w:left="0" w:firstLine="0"/>
              <w:rPr>
                <w:rFonts w:ascii="Century Gothic" w:hAnsi="Century Gothic"/>
                <w:szCs w:val="24"/>
              </w:rPr>
            </w:pPr>
            <w:r w:rsidRPr="00304B1B">
              <w:rPr>
                <w:rFonts w:ascii="Century Gothic" w:hAnsi="Century Gothic"/>
                <w:szCs w:val="24"/>
              </w:rPr>
              <w:t xml:space="preserve">· Pflegeheime, Pflegedienste, Betreuungsdienste und anerkannte Angebote zur Unterstützung im Alltag </w:t>
            </w:r>
          </w:p>
          <w:p w:rsidR="001C24E2" w:rsidRPr="00304B1B" w:rsidRDefault="00304B1B">
            <w:pPr>
              <w:spacing w:line="275" w:lineRule="auto"/>
              <w:ind w:left="0" w:firstLine="0"/>
              <w:rPr>
                <w:rFonts w:ascii="Century Gothic" w:hAnsi="Century Gothic"/>
                <w:szCs w:val="24"/>
              </w:rPr>
            </w:pPr>
            <w:r w:rsidRPr="00304B1B">
              <w:rPr>
                <w:rFonts w:ascii="Century Gothic" w:hAnsi="Century Gothic"/>
                <w:szCs w:val="24"/>
              </w:rPr>
              <w:t xml:space="preserve">· Angebote des Servicewohnens sowie betreute Wohngemeinschaften für pflegebedürftige und Menschen mit Behinderung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Hospize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-Rettungsdienste </w:t>
            </w:r>
          </w:p>
          <w:p w:rsidR="001C24E2" w:rsidRPr="00304B1B" w:rsidRDefault="00304B1B">
            <w:pPr>
              <w:spacing w:after="17"/>
              <w:ind w:left="0" w:firstLine="0"/>
              <w:rPr>
                <w:rFonts w:ascii="Century Gothic" w:hAnsi="Century Gothic"/>
                <w:szCs w:val="24"/>
              </w:rPr>
            </w:pPr>
            <w:r w:rsidRPr="00304B1B">
              <w:rPr>
                <w:rFonts w:ascii="Century Gothic" w:hAnsi="Century Gothic"/>
                <w:szCs w:val="24"/>
              </w:rPr>
              <w:t xml:space="preserve">· Apotheken und Sanitätshäuser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Hebammen, Praxen von Gesundheitsfachberufen, Arztpraxen,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Zahnarztpraxen, Tierarztpraxen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Psychologische Psychotherapeuten und Kinder- und Jugendlichen-</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Psychotherapeuten, Psychosoziale Notfallversorgung </w:t>
            </w:r>
          </w:p>
          <w:p w:rsidR="001C24E2" w:rsidRPr="00304B1B" w:rsidRDefault="00304B1B">
            <w:pPr>
              <w:spacing w:line="275" w:lineRule="auto"/>
              <w:ind w:left="0" w:firstLine="0"/>
              <w:rPr>
                <w:rFonts w:ascii="Century Gothic" w:hAnsi="Century Gothic"/>
                <w:szCs w:val="24"/>
              </w:rPr>
            </w:pPr>
            <w:r w:rsidRPr="00304B1B">
              <w:rPr>
                <w:rFonts w:ascii="Century Gothic" w:hAnsi="Century Gothic"/>
                <w:szCs w:val="24"/>
              </w:rPr>
              <w:t xml:space="preserve">· Tätigkeiten von Personen, die zur Stärkung im Gesundheitswesen und im Pflegebereich aktiviert oder reaktiviert werden (z. B. medizinisch technische Assistenten, biologisch technische Assistenten sowie Personen, die sich in der Ausbildung zu diesen Berufsabschlüssen befinden und fortgeschritten sind; Studierende der Biologie, Biochemie, Biophysik, Veterinärmedizin und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Chemie ab Bachelor, insbesondere wenn sie molekulare Schwerpunkte </w:t>
            </w:r>
          </w:p>
        </w:tc>
      </w:tr>
    </w:tbl>
    <w:p w:rsidR="001C24E2" w:rsidRPr="00304B1B" w:rsidRDefault="001C24E2">
      <w:pPr>
        <w:ind w:left="-1416" w:right="8458" w:firstLine="0"/>
        <w:rPr>
          <w:rFonts w:ascii="Century Gothic" w:hAnsi="Century Gothic"/>
          <w:szCs w:val="24"/>
        </w:rPr>
      </w:pPr>
    </w:p>
    <w:tbl>
      <w:tblPr>
        <w:tblStyle w:val="TableGrid"/>
        <w:tblW w:w="8930" w:type="dxa"/>
        <w:tblInd w:w="5" w:type="dxa"/>
        <w:tblCellMar>
          <w:top w:w="94" w:type="dxa"/>
          <w:left w:w="57" w:type="dxa"/>
          <w:right w:w="10" w:type="dxa"/>
        </w:tblCellMar>
        <w:tblLook w:val="04A0"/>
      </w:tblPr>
      <w:tblGrid>
        <w:gridCol w:w="3086"/>
        <w:gridCol w:w="5844"/>
      </w:tblGrid>
      <w:tr w:rsidR="001C24E2" w:rsidRPr="00304B1B">
        <w:trPr>
          <w:trHeight w:val="1769"/>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1C24E2">
            <w:pPr>
              <w:spacing w:after="160"/>
              <w:ind w:left="0" w:firstLine="0"/>
              <w:rPr>
                <w:rFonts w:ascii="Century Gothic" w:hAnsi="Century Gothic"/>
                <w:szCs w:val="24"/>
              </w:rPr>
            </w:pP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2" w:line="275" w:lineRule="auto"/>
              <w:ind w:left="0" w:right="23" w:firstLine="0"/>
              <w:rPr>
                <w:rFonts w:ascii="Century Gothic" w:hAnsi="Century Gothic"/>
                <w:szCs w:val="24"/>
              </w:rPr>
            </w:pPr>
            <w:r w:rsidRPr="00304B1B">
              <w:rPr>
                <w:rFonts w:ascii="Century Gothic" w:hAnsi="Century Gothic"/>
                <w:szCs w:val="24"/>
              </w:rPr>
              <w:t xml:space="preserve">belegt haben; ebenso von Personen, die eine der genannten Fachrichtungen studiert haben und jetzt wissenschaftlich arbeiten oder andere Berufe ausüben (z.B. in der Pharma- oder Biotechindustrie)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Stationäre, teilstationäre, ambulante erzieherische Hilfen, Frühe Hilfen, </w:t>
            </w:r>
          </w:p>
          <w:p w:rsidR="001C24E2" w:rsidRPr="00304B1B" w:rsidRDefault="00304B1B">
            <w:pPr>
              <w:spacing w:after="15"/>
              <w:ind w:left="0" w:firstLine="0"/>
              <w:jc w:val="both"/>
              <w:rPr>
                <w:rFonts w:ascii="Century Gothic" w:hAnsi="Century Gothic"/>
                <w:szCs w:val="24"/>
              </w:rPr>
            </w:pPr>
            <w:r w:rsidRPr="00304B1B">
              <w:rPr>
                <w:rFonts w:ascii="Century Gothic" w:hAnsi="Century Gothic"/>
                <w:szCs w:val="24"/>
              </w:rPr>
              <w:t xml:space="preserve">Inobhutnahmeeinrichtungen, Kinderschutzdienste, betreute Wohnformen der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Kinder und Jugendhilfe </w:t>
            </w:r>
          </w:p>
        </w:tc>
      </w:tr>
      <w:tr w:rsidR="001C24E2" w:rsidRPr="00304B1B">
        <w:trPr>
          <w:trHeight w:val="972"/>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Getränkeherstellung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Ernährungswirtschaft und Land-/Vieh-/ Fischereiwirtschaft einschließlich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der vollständigen Lieferketten (Landwirte, Erntehelfer, Produktion, Verarbeitung, Handel, Vertrieb) </w:t>
            </w:r>
          </w:p>
        </w:tc>
      </w:tr>
      <w:tr w:rsidR="001C24E2" w:rsidRPr="00304B1B">
        <w:trPr>
          <w:trHeight w:val="1238"/>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 w:line="238" w:lineRule="auto"/>
              <w:ind w:left="0" w:firstLine="0"/>
              <w:rPr>
                <w:rFonts w:ascii="Century Gothic" w:hAnsi="Century Gothic"/>
                <w:szCs w:val="24"/>
              </w:rPr>
            </w:pPr>
            <w:r w:rsidRPr="00304B1B">
              <w:rPr>
                <w:rFonts w:ascii="Century Gothic" w:hAnsi="Century Gothic"/>
                <w:szCs w:val="24"/>
              </w:rPr>
              <w:t xml:space="preserve">Großhandel mit landwirtschaftlichen Grundstoffen und lebenden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Tieren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Ernährungswirtschaft und Land-/Vieh-/ Fischereiwirtschaft einschließlich </w:t>
            </w:r>
          </w:p>
          <w:p w:rsidR="001C24E2" w:rsidRPr="00304B1B" w:rsidRDefault="00304B1B">
            <w:pPr>
              <w:spacing w:line="275" w:lineRule="auto"/>
              <w:ind w:left="0" w:firstLine="0"/>
              <w:rPr>
                <w:rFonts w:ascii="Century Gothic" w:hAnsi="Century Gothic"/>
                <w:szCs w:val="24"/>
              </w:rPr>
            </w:pPr>
            <w:r w:rsidRPr="00304B1B">
              <w:rPr>
                <w:rFonts w:ascii="Century Gothic" w:hAnsi="Century Gothic"/>
                <w:szCs w:val="24"/>
              </w:rPr>
              <w:t xml:space="preserve">der vollständigen Lieferketten (Landwirte, Erntehelfer, Produktion, Verarbeitung, Handel, Vertrieb)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 </w:t>
            </w:r>
          </w:p>
        </w:tc>
      </w:tr>
      <w:tr w:rsidR="001C24E2" w:rsidRPr="00304B1B">
        <w:trPr>
          <w:trHeight w:val="869"/>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right="49" w:firstLine="0"/>
              <w:rPr>
                <w:rFonts w:ascii="Century Gothic" w:hAnsi="Century Gothic"/>
                <w:szCs w:val="24"/>
              </w:rPr>
            </w:pPr>
            <w:r w:rsidRPr="00304B1B">
              <w:rPr>
                <w:rFonts w:ascii="Century Gothic" w:hAnsi="Century Gothic"/>
                <w:szCs w:val="24"/>
              </w:rPr>
              <w:lastRenderedPageBreak/>
              <w:t>Großhandel mit Nahrungs- und Genussmitteln, Getränken und Tabakwaren</w:t>
            </w:r>
            <w:r w:rsidRPr="00304B1B">
              <w:rPr>
                <w:rFonts w:ascii="Century Gothic" w:hAnsi="Century Gothic"/>
                <w:color w:val="656F77"/>
                <w:szCs w:val="24"/>
              </w:rPr>
              <w:t xml:space="preserve"> </w:t>
            </w:r>
          </w:p>
        </w:tc>
        <w:tc>
          <w:tcPr>
            <w:tcW w:w="6314"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Lebensmitteleinzelhandel und -großhandel (Verkaufs-, Lager- und Logistikpersonal) </w:t>
            </w:r>
          </w:p>
        </w:tc>
      </w:tr>
      <w:tr w:rsidR="001C24E2" w:rsidRPr="00304B1B">
        <w:trPr>
          <w:trHeight w:val="974"/>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Hausmeisterdienste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Dienstleister für desinfizierende Gebäudereinigung, Wirtschafts-, (hauswirtschaftliche) Versorgungs- und Reinigungspersonal in den systemrelevanten Einrichtungen/ Betrieben/ Organisationen </w:t>
            </w:r>
          </w:p>
        </w:tc>
      </w:tr>
      <w:tr w:rsidR="001C24E2" w:rsidRPr="00304B1B">
        <w:trPr>
          <w:trHeight w:val="641"/>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Heime (ohne Erholungs- und Ferienheime) </w:t>
            </w:r>
          </w:p>
        </w:tc>
        <w:tc>
          <w:tcPr>
            <w:tcW w:w="6314"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Einrichtungen für Menschen mit Behinderungen </w:t>
            </w:r>
          </w:p>
        </w:tc>
      </w:tr>
      <w:tr w:rsidR="001C24E2" w:rsidRPr="00304B1B">
        <w:trPr>
          <w:trHeight w:val="1560"/>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Herstellung von chemischen Grundstoffen, Düngemitteln und Stickstoffverbindungen, Kunststoffen in Primärformen und synthetischem Kautschuk in Primärformen </w:t>
            </w:r>
          </w:p>
        </w:tc>
        <w:tc>
          <w:tcPr>
            <w:tcW w:w="6314"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Rohstoffproduktion (versorgungsrelevante Stoffe, chemische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Grundstoffindustrie) </w:t>
            </w:r>
          </w:p>
        </w:tc>
      </w:tr>
      <w:tr w:rsidR="001C24E2" w:rsidRPr="00304B1B">
        <w:trPr>
          <w:trHeight w:val="1236"/>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right="28" w:firstLine="0"/>
              <w:jc w:val="both"/>
              <w:rPr>
                <w:rFonts w:ascii="Century Gothic" w:hAnsi="Century Gothic"/>
                <w:szCs w:val="24"/>
              </w:rPr>
            </w:pPr>
            <w:r w:rsidRPr="00304B1B">
              <w:rPr>
                <w:rFonts w:ascii="Century Gothic" w:hAnsi="Century Gothic"/>
                <w:szCs w:val="24"/>
              </w:rPr>
              <w:t xml:space="preserve">Herstellung von Nahrungs- und Futtermitteln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Ernährungswirtschaft und Land-/Vieh-/ Fischereiwirtschaft einschließlich </w:t>
            </w:r>
          </w:p>
          <w:p w:rsidR="001C24E2" w:rsidRPr="00304B1B" w:rsidRDefault="00304B1B">
            <w:pPr>
              <w:spacing w:after="17"/>
              <w:ind w:left="0" w:firstLine="0"/>
              <w:rPr>
                <w:rFonts w:ascii="Century Gothic" w:hAnsi="Century Gothic"/>
                <w:szCs w:val="24"/>
              </w:rPr>
            </w:pPr>
            <w:r w:rsidRPr="00304B1B">
              <w:rPr>
                <w:rFonts w:ascii="Century Gothic" w:hAnsi="Century Gothic"/>
                <w:szCs w:val="24"/>
              </w:rPr>
              <w:t xml:space="preserve">der vollständigen Lieferketten (Landwirte, Erntehelfer, Produktion,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Verarbeitung, Handel, Vertrieb)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 Futtermittel(-zusatzstoffe) (Produktion für Nutztierhaltung) </w:t>
            </w:r>
          </w:p>
        </w:tc>
      </w:tr>
      <w:tr w:rsidR="001C24E2" w:rsidRPr="00304B1B">
        <w:trPr>
          <w:trHeight w:val="1502"/>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Herstellung von pharmazeutischen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Erzeugnissen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Pharmazie und Medizin (krisenrelevante Forschung)  </w:t>
            </w:r>
          </w:p>
          <w:p w:rsidR="001C24E2" w:rsidRPr="00304B1B" w:rsidRDefault="00304B1B">
            <w:pPr>
              <w:spacing w:after="2" w:line="275" w:lineRule="auto"/>
              <w:ind w:left="0" w:firstLine="0"/>
              <w:rPr>
                <w:rFonts w:ascii="Century Gothic" w:hAnsi="Century Gothic"/>
                <w:szCs w:val="24"/>
              </w:rPr>
            </w:pPr>
            <w:r w:rsidRPr="00304B1B">
              <w:rPr>
                <w:rFonts w:ascii="Century Gothic" w:hAnsi="Century Gothic"/>
                <w:szCs w:val="24"/>
              </w:rPr>
              <w:t xml:space="preserve">· Herstellung, Handel und Vertrieb von Wirkstoffen, Arzneimitteln und Medizinprodukten, Produkten der persönlichen Schutzausrüstung und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Biozidprodukten /Desinfektionsmitteln einschließlich der vollständigen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Lieferketten, Blut- und Plasmaspendeneinrichtungen </w:t>
            </w:r>
          </w:p>
        </w:tc>
      </w:tr>
      <w:tr w:rsidR="001C24E2" w:rsidRPr="00304B1B">
        <w:trPr>
          <w:trHeight w:val="1238"/>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Herstellung von Seifen,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Wasch-, Reinigungs- und </w:t>
            </w:r>
          </w:p>
          <w:p w:rsidR="001C24E2" w:rsidRPr="00304B1B" w:rsidRDefault="00304B1B">
            <w:pPr>
              <w:ind w:left="0" w:firstLine="0"/>
              <w:jc w:val="both"/>
              <w:rPr>
                <w:rFonts w:ascii="Century Gothic" w:hAnsi="Century Gothic"/>
                <w:szCs w:val="24"/>
              </w:rPr>
            </w:pPr>
            <w:r w:rsidRPr="00304B1B">
              <w:rPr>
                <w:rFonts w:ascii="Century Gothic" w:hAnsi="Century Gothic"/>
                <w:szCs w:val="24"/>
              </w:rPr>
              <w:t xml:space="preserve">Körperpflegemitteln sowie von </w:t>
            </w:r>
          </w:p>
          <w:p w:rsidR="001C24E2" w:rsidRPr="00304B1B" w:rsidRDefault="00304B1B">
            <w:pPr>
              <w:ind w:left="0" w:firstLine="0"/>
              <w:rPr>
                <w:rFonts w:ascii="Century Gothic" w:hAnsi="Century Gothic"/>
                <w:szCs w:val="24"/>
              </w:rPr>
            </w:pPr>
            <w:r w:rsidRPr="00304B1B">
              <w:rPr>
                <w:rFonts w:ascii="Century Gothic" w:hAnsi="Century Gothic"/>
                <w:szCs w:val="24"/>
              </w:rPr>
              <w:t>Duftstoffen</w:t>
            </w:r>
            <w:r w:rsidRPr="00304B1B">
              <w:rPr>
                <w:rFonts w:ascii="Century Gothic" w:hAnsi="Century Gothic"/>
                <w:color w:val="656F77"/>
                <w:szCs w:val="24"/>
              </w:rPr>
              <w:t xml:space="preserve">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line="275" w:lineRule="auto"/>
              <w:ind w:left="0" w:firstLine="0"/>
              <w:rPr>
                <w:rFonts w:ascii="Century Gothic" w:hAnsi="Century Gothic"/>
                <w:szCs w:val="24"/>
              </w:rPr>
            </w:pPr>
            <w:r w:rsidRPr="00304B1B">
              <w:rPr>
                <w:rFonts w:ascii="Century Gothic" w:hAnsi="Century Gothic"/>
                <w:szCs w:val="24"/>
              </w:rPr>
              <w:t xml:space="preserve">- Herstellung, Handel und Vertrieb von Wirkstoffen, Arzneimitteln und Medizinprodukten, Produkten der persönlichen Schutzausrüstung und </w:t>
            </w:r>
          </w:p>
          <w:p w:rsidR="001C24E2" w:rsidRPr="00304B1B" w:rsidRDefault="00304B1B">
            <w:pPr>
              <w:spacing w:after="17"/>
              <w:ind w:left="0" w:firstLine="0"/>
              <w:rPr>
                <w:rFonts w:ascii="Century Gothic" w:hAnsi="Century Gothic"/>
                <w:szCs w:val="24"/>
              </w:rPr>
            </w:pPr>
            <w:r w:rsidRPr="00304B1B">
              <w:rPr>
                <w:rFonts w:ascii="Century Gothic" w:hAnsi="Century Gothic"/>
                <w:szCs w:val="24"/>
              </w:rPr>
              <w:t xml:space="preserve">Biozidprodukten /Desinfektionsmitteln einschließlich der vollständigen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Lieferketten, Blut- und Plasmaspendeneinrichtungen </w:t>
            </w:r>
          </w:p>
        </w:tc>
      </w:tr>
      <w:tr w:rsidR="001C24E2" w:rsidRPr="00304B1B">
        <w:trPr>
          <w:trHeight w:val="710"/>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Herstellung von Textilien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Textilunternehmen (Produktion, Handel und Vertrieb unter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Krisengesichtspunkten versorgungsrelevanter Textilien) </w:t>
            </w:r>
          </w:p>
        </w:tc>
      </w:tr>
      <w:tr w:rsidR="001C24E2" w:rsidRPr="00304B1B">
        <w:trPr>
          <w:trHeight w:val="444"/>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Informationsdienstleistungen</w:t>
            </w:r>
            <w:r w:rsidRPr="00304B1B">
              <w:rPr>
                <w:rFonts w:ascii="Century Gothic" w:hAnsi="Century Gothic"/>
                <w:color w:val="656F77"/>
                <w:szCs w:val="24"/>
              </w:rPr>
              <w:t xml:space="preserve">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Informationstechnikzentrum Bund (ITZBund) </w:t>
            </w:r>
          </w:p>
        </w:tc>
      </w:tr>
      <w:tr w:rsidR="001C24E2" w:rsidRPr="00304B1B">
        <w:trPr>
          <w:trHeight w:val="974"/>
        </w:trPr>
        <w:tc>
          <w:tcPr>
            <w:tcW w:w="2616"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Kindergärten und Vorschulen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Personal zur Sicherstellung der Notbetreuung in Kitas, Kindertagespflege, Schulen, Horten und Internaten soweit nicht genug Personal ohne betreuungspflichtige Kinder zur Verfügung steht </w:t>
            </w:r>
          </w:p>
        </w:tc>
      </w:tr>
      <w:tr w:rsidR="001C24E2" w:rsidRPr="00304B1B">
        <w:trPr>
          <w:trHeight w:val="1502"/>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lastRenderedPageBreak/>
              <w:t xml:space="preserve">Lagerei sowie Erbringung von sonstigen Dienstleistungen für den Verkehr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Ernährungswirtschaft und Land-/Vieh-/ Fischereiwirtschaft einschließlich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der vollständigen Lieferketten (Landwirte, Erntehelfer, Produktion, </w:t>
            </w:r>
          </w:p>
          <w:p w:rsidR="001C24E2" w:rsidRPr="00304B1B" w:rsidRDefault="00304B1B">
            <w:pPr>
              <w:spacing w:after="17"/>
              <w:ind w:left="0" w:firstLine="0"/>
              <w:rPr>
                <w:rFonts w:ascii="Century Gothic" w:hAnsi="Century Gothic"/>
                <w:szCs w:val="24"/>
              </w:rPr>
            </w:pPr>
            <w:r w:rsidRPr="00304B1B">
              <w:rPr>
                <w:rFonts w:ascii="Century Gothic" w:hAnsi="Century Gothic"/>
                <w:szCs w:val="24"/>
              </w:rPr>
              <w:t xml:space="preserve">Verarbeitung, Handel, Vertrieb)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 Lebensmitteleinzelhandel und -großhandel (Verkaufs-, Lager- und Logistikpersonal) </w:t>
            </w:r>
          </w:p>
        </w:tc>
      </w:tr>
      <w:tr w:rsidR="001C24E2" w:rsidRPr="00304B1B">
        <w:trPr>
          <w:trHeight w:val="974"/>
        </w:trPr>
        <w:tc>
          <w:tcPr>
            <w:tcW w:w="2616"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Landverkehr und Transport in Rohrfernleitungen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Warentransport und -logistik (aller versorgungsrelevanter und zur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Sicherstellung des täglichen Bedarfs notwendiger Güter)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 Öffentlicher Personentransport (Bahn, Bus) </w:t>
            </w:r>
          </w:p>
        </w:tc>
      </w:tr>
      <w:tr w:rsidR="001C24E2" w:rsidRPr="00304B1B">
        <w:trPr>
          <w:trHeight w:val="974"/>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Landwirtschaft, Jagd und damit verbundene Tätigkeiten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right="629" w:firstLine="0"/>
              <w:jc w:val="both"/>
              <w:rPr>
                <w:rFonts w:ascii="Century Gothic" w:hAnsi="Century Gothic"/>
                <w:szCs w:val="24"/>
              </w:rPr>
            </w:pPr>
            <w:r w:rsidRPr="00304B1B">
              <w:rPr>
                <w:rFonts w:ascii="Century Gothic" w:hAnsi="Century Gothic"/>
                <w:szCs w:val="24"/>
              </w:rPr>
              <w:t xml:space="preserve">· Ernährungswirtschaft und Land-/Forst-/Vieh-/ Fischereiwirtschaft einschließlich der vollständigen Lieferketten (Landwirte, Erntehelfer, Produktion, Verarbeitung, Handel, Vertrieb) </w:t>
            </w:r>
          </w:p>
        </w:tc>
      </w:tr>
      <w:tr w:rsidR="001C24E2" w:rsidRPr="00304B1B">
        <w:trPr>
          <w:trHeight w:val="708"/>
        </w:trPr>
        <w:tc>
          <w:tcPr>
            <w:tcW w:w="2616"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Luftfahrt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Luftverkehr (Personen und Frachtverkehr), Flugsicherung und systemrelevante Produktion </w:t>
            </w:r>
          </w:p>
        </w:tc>
      </w:tr>
      <w:tr w:rsidR="001C24E2" w:rsidRPr="00304B1B">
        <w:trPr>
          <w:trHeight w:val="708"/>
        </w:trPr>
        <w:tc>
          <w:tcPr>
            <w:tcW w:w="2616"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Medien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insbesondere Nachrichten- und Informationswesen sowie Risiko- und Krisenkommunikation </w:t>
            </w:r>
          </w:p>
        </w:tc>
      </w:tr>
      <w:tr w:rsidR="001C24E2" w:rsidRPr="00304B1B">
        <w:trPr>
          <w:trHeight w:val="5206"/>
        </w:trPr>
        <w:tc>
          <w:tcPr>
            <w:tcW w:w="2616"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Öffentliche Verwaltung,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Verteidigung;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Sozialversicherung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Landes- und Bundesregierung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Gesetzgebung/Parlament  </w:t>
            </w:r>
          </w:p>
          <w:p w:rsidR="001C24E2" w:rsidRPr="00304B1B" w:rsidRDefault="00304B1B">
            <w:pPr>
              <w:spacing w:line="277" w:lineRule="auto"/>
              <w:ind w:left="0" w:firstLine="0"/>
              <w:rPr>
                <w:rFonts w:ascii="Century Gothic" w:hAnsi="Century Gothic"/>
                <w:szCs w:val="24"/>
              </w:rPr>
            </w:pPr>
            <w:r w:rsidRPr="00304B1B">
              <w:rPr>
                <w:rFonts w:ascii="Century Gothic" w:hAnsi="Century Gothic"/>
                <w:szCs w:val="24"/>
              </w:rPr>
              <w:t xml:space="preserve">· Behörden und Verwaltungen (besonders Gesundheit, Jugendhilfe, Finanzverwaltung)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Polizei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Feuerwehr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Zollverwaltung </w:t>
            </w:r>
          </w:p>
          <w:p w:rsidR="001C24E2" w:rsidRPr="00304B1B" w:rsidRDefault="00304B1B">
            <w:pPr>
              <w:spacing w:after="17"/>
              <w:ind w:left="0" w:firstLine="0"/>
              <w:rPr>
                <w:rFonts w:ascii="Century Gothic" w:hAnsi="Century Gothic"/>
                <w:szCs w:val="24"/>
              </w:rPr>
            </w:pPr>
            <w:r w:rsidRPr="00304B1B">
              <w:rPr>
                <w:rFonts w:ascii="Century Gothic" w:hAnsi="Century Gothic"/>
                <w:szCs w:val="24"/>
              </w:rPr>
              <w:t xml:space="preserve">· Verfassungsschutz, BND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Justizvollzugs-, Maßregelvollzug und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Abschiebungshaftvollzugseinrichtungen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Gerichte und Staatsanwaltschaften </w:t>
            </w:r>
          </w:p>
          <w:p w:rsidR="001C24E2" w:rsidRPr="00304B1B" w:rsidRDefault="00304B1B">
            <w:pPr>
              <w:spacing w:after="15"/>
              <w:ind w:left="0" w:firstLine="0"/>
              <w:rPr>
                <w:rFonts w:ascii="Century Gothic" w:hAnsi="Century Gothic"/>
                <w:szCs w:val="24"/>
              </w:rPr>
            </w:pPr>
            <w:r w:rsidRPr="00304B1B">
              <w:rPr>
                <w:rFonts w:ascii="Century Gothic" w:hAnsi="Century Gothic"/>
                <w:szCs w:val="24"/>
              </w:rPr>
              <w:t xml:space="preserve">· Bundeswehr (Soldatinnen und Soldaten; Zivilpersonal in der </w:t>
            </w:r>
          </w:p>
          <w:p w:rsidR="001C24E2" w:rsidRPr="00304B1B" w:rsidRDefault="00304B1B">
            <w:pPr>
              <w:spacing w:after="2" w:line="275" w:lineRule="auto"/>
              <w:ind w:left="0" w:right="109" w:firstLine="0"/>
              <w:rPr>
                <w:rFonts w:ascii="Century Gothic" w:hAnsi="Century Gothic"/>
                <w:szCs w:val="24"/>
              </w:rPr>
            </w:pPr>
            <w:r w:rsidRPr="00304B1B">
              <w:rPr>
                <w:rFonts w:ascii="Century Gothic" w:hAnsi="Century Gothic"/>
                <w:szCs w:val="24"/>
              </w:rPr>
              <w:t xml:space="preserve">Wehrverwaltung und anderen Bereichen der Bundeswehr) sowie zusätzlich Bundeswehr-Angehörige, die zur Sicherstellung der Einsatzbereitschaft und der laufenden Einsätze der Bundeswehr erforderlich sind · Bundesagentur für Arbeit und Jobcenter (Leistungsverwaltung einschließlich der kommunalen Rechtsträger des SGB II) · Bundesanstalt für Finanzdienstleistungsaufsicht (BaFin) </w:t>
            </w:r>
          </w:p>
          <w:p w:rsidR="001C24E2" w:rsidRPr="00304B1B" w:rsidRDefault="00304B1B">
            <w:pPr>
              <w:ind w:left="0" w:firstLine="0"/>
              <w:rPr>
                <w:rFonts w:ascii="Century Gothic" w:hAnsi="Century Gothic"/>
                <w:szCs w:val="24"/>
              </w:rPr>
            </w:pPr>
            <w:r w:rsidRPr="00304B1B">
              <w:rPr>
                <w:rFonts w:ascii="Century Gothic" w:hAnsi="Century Gothic"/>
                <w:szCs w:val="24"/>
              </w:rPr>
              <w:t xml:space="preserve">· Bundesanstalt für Immobilienaufgaben (BImA) </w:t>
            </w:r>
          </w:p>
        </w:tc>
      </w:tr>
      <w:tr w:rsidR="001C24E2" w:rsidRPr="00304B1B">
        <w:trPr>
          <w:trHeight w:val="710"/>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lastRenderedPageBreak/>
              <w:t xml:space="preserve">Post-, Kurier- und Expressdienste </w:t>
            </w:r>
          </w:p>
        </w:tc>
        <w:tc>
          <w:tcPr>
            <w:tcW w:w="6314"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Post, Paketshops </w:t>
            </w:r>
          </w:p>
        </w:tc>
      </w:tr>
      <w:tr w:rsidR="001C24E2" w:rsidRPr="00304B1B">
        <w:trPr>
          <w:trHeight w:val="708"/>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Private Wach- und Sicherheitsdienste </w:t>
            </w:r>
          </w:p>
        </w:tc>
        <w:tc>
          <w:tcPr>
            <w:tcW w:w="6314" w:type="dxa"/>
            <w:tcBorders>
              <w:top w:val="single" w:sz="4" w:space="0" w:color="000000"/>
              <w:left w:val="single" w:sz="4" w:space="0" w:color="000000"/>
              <w:bottom w:val="single" w:sz="4" w:space="0" w:color="000000"/>
              <w:right w:val="single" w:sz="4" w:space="0" w:color="000000"/>
            </w:tcBorders>
            <w:vAlign w:val="center"/>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Wach- und Sicherheitsdienst </w:t>
            </w:r>
          </w:p>
        </w:tc>
      </w:tr>
      <w:tr w:rsidR="001C24E2" w:rsidRPr="00304B1B">
        <w:trPr>
          <w:trHeight w:val="444"/>
        </w:trPr>
        <w:tc>
          <w:tcPr>
            <w:tcW w:w="2616"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Rechtsberatung </w:t>
            </w:r>
          </w:p>
        </w:tc>
        <w:tc>
          <w:tcPr>
            <w:tcW w:w="6314" w:type="dxa"/>
            <w:tcBorders>
              <w:top w:val="single" w:sz="4" w:space="0" w:color="000000"/>
              <w:left w:val="single" w:sz="4" w:space="0" w:color="000000"/>
              <w:bottom w:val="single" w:sz="4" w:space="0" w:color="000000"/>
              <w:right w:val="single" w:sz="4" w:space="0" w:color="000000"/>
            </w:tcBorders>
          </w:tcPr>
          <w:p w:rsidR="001C24E2" w:rsidRPr="00304B1B" w:rsidRDefault="00304B1B">
            <w:pPr>
              <w:ind w:left="0" w:firstLine="0"/>
              <w:rPr>
                <w:rFonts w:ascii="Century Gothic" w:hAnsi="Century Gothic"/>
                <w:szCs w:val="24"/>
              </w:rPr>
            </w:pPr>
            <w:r w:rsidRPr="00304B1B">
              <w:rPr>
                <w:rFonts w:ascii="Century Gothic" w:hAnsi="Century Gothic"/>
                <w:szCs w:val="24"/>
              </w:rPr>
              <w:t xml:space="preserve">· Rechtsanwälte und Notare </w:t>
            </w:r>
          </w:p>
        </w:tc>
      </w:tr>
    </w:tbl>
    <w:p w:rsidR="001C24E2" w:rsidRPr="00304B1B" w:rsidRDefault="00304B1B">
      <w:pPr>
        <w:ind w:left="0" w:firstLine="0"/>
        <w:jc w:val="both"/>
        <w:rPr>
          <w:rFonts w:ascii="Century Gothic" w:hAnsi="Century Gothic"/>
          <w:szCs w:val="24"/>
        </w:rPr>
      </w:pPr>
      <w:r w:rsidRPr="00304B1B">
        <w:rPr>
          <w:rFonts w:ascii="Century Gothic" w:eastAsia="Arial" w:hAnsi="Century Gothic" w:cs="Arial"/>
          <w:szCs w:val="24"/>
        </w:rPr>
        <w:t xml:space="preserve"> </w:t>
      </w:r>
    </w:p>
    <w:sectPr w:rsidR="001C24E2" w:rsidRPr="00304B1B" w:rsidSect="00D506D2">
      <w:pgSz w:w="11900" w:h="16840"/>
      <w:pgMar w:top="1421" w:right="3442" w:bottom="1218"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FELayout/>
  </w:compat>
  <w:rsids>
    <w:rsidRoot w:val="001C24E2"/>
    <w:rsid w:val="001C24E2"/>
    <w:rsid w:val="00304B1B"/>
    <w:rsid w:val="00A518F6"/>
    <w:rsid w:val="00D506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06D2"/>
    <w:pPr>
      <w:spacing w:after="0"/>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D506D2"/>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6821</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- 2020-04-16_Anlage 2 zur CoronaBetrVO_19.00.docx</dc:title>
  <dc:creator>Holtgrewe</dc:creator>
  <cp:lastModifiedBy>Schrappi</cp:lastModifiedBy>
  <cp:revision>2</cp:revision>
  <dcterms:created xsi:type="dcterms:W3CDTF">2020-04-17T15:46:00Z</dcterms:created>
  <dcterms:modified xsi:type="dcterms:W3CDTF">2020-04-17T15:46:00Z</dcterms:modified>
</cp:coreProperties>
</file>