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B4" w:rsidRPr="00A06AB4" w:rsidRDefault="00A06AB4" w:rsidP="00A06AB4">
      <w:pPr>
        <w:keepNext/>
        <w:keepLines/>
        <w:tabs>
          <w:tab w:val="left" w:pos="1050"/>
          <w:tab w:val="left" w:pos="7290"/>
        </w:tabs>
        <w:jc w:val="center"/>
        <w:outlineLvl w:val="0"/>
        <w:rPr>
          <w:rFonts w:ascii="Arial" w:eastAsia="Times New Roman" w:hAnsi="Arial" w:cs="Arial"/>
          <w:color w:val="2F5496"/>
          <w:sz w:val="16"/>
          <w:szCs w:val="16"/>
          <w:lang w:eastAsia="en-US"/>
        </w:rPr>
      </w:pPr>
      <w:r w:rsidRPr="00A06AB4">
        <w:rPr>
          <w:rFonts w:ascii="Comic Sans MS" w:eastAsia="Times New Roman" w:hAnsi="Comic Sans MS" w:cs="Arial"/>
          <w:noProof/>
          <w:sz w:val="16"/>
          <w:szCs w:val="16"/>
        </w:rPr>
        <mc:AlternateContent>
          <mc:Choice Requires="wps">
            <w:drawing>
              <wp:anchor distT="0" distB="0" distL="114300" distR="114300" simplePos="0" relativeHeight="251655680" behindDoc="0" locked="0" layoutInCell="1" allowOverlap="1" wp14:anchorId="7940166B" wp14:editId="2AA8F46B">
                <wp:simplePos x="0" y="0"/>
                <wp:positionH relativeFrom="column">
                  <wp:posOffset>-520700</wp:posOffset>
                </wp:positionH>
                <wp:positionV relativeFrom="paragraph">
                  <wp:posOffset>-3175</wp:posOffset>
                </wp:positionV>
                <wp:extent cx="1171575" cy="29527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ysClr val="window" lastClr="FFFFFF"/>
                        </a:solidFill>
                        <a:ln w="25400" cap="flat" cmpd="sng" algn="ctr">
                          <a:solidFill>
                            <a:sysClr val="window" lastClr="FFFFFF"/>
                          </a:solidFill>
                          <a:prstDash val="solid"/>
                        </a:ln>
                        <a:effectLst/>
                      </wps:spPr>
                      <wps:txbx>
                        <w:txbxContent>
                          <w:p w:rsidR="00A06AB4" w:rsidRPr="000D2DB2" w:rsidRDefault="00A06AB4" w:rsidP="00A06AB4">
                            <w:pPr>
                              <w:rPr>
                                <w:rFonts w:ascii="Century Gothic" w:hAnsi="Century Gothic"/>
                                <w:b/>
                                <w:sz w:val="16"/>
                                <w:szCs w:val="16"/>
                              </w:rPr>
                            </w:pPr>
                            <w:r>
                              <w:rPr>
                                <w:rFonts w:ascii="Century Gothic" w:hAnsi="Century Gothic"/>
                                <w:b/>
                                <w:sz w:val="16"/>
                                <w:szCs w:val="16"/>
                              </w:rPr>
                              <w:t>G</w:t>
                            </w:r>
                            <w:r w:rsidRPr="000D2DB2">
                              <w:rPr>
                                <w:rFonts w:ascii="Century Gothic" w:hAnsi="Century Gothic"/>
                                <w:b/>
                                <w:sz w:val="16"/>
                                <w:szCs w:val="16"/>
                              </w:rPr>
                              <w:t xml:space="preserve">GS Am </w:t>
                            </w:r>
                            <w:proofErr w:type="spellStart"/>
                            <w:r w:rsidRPr="000D2DB2">
                              <w:rPr>
                                <w:rFonts w:ascii="Century Gothic" w:hAnsi="Century Gothic"/>
                                <w:b/>
                                <w:sz w:val="16"/>
                                <w:szCs w:val="16"/>
                              </w:rPr>
                              <w:t>Haidekamp</w:t>
                            </w:r>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799998"/>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0166B" id="_x0000_t202" coordsize="21600,21600" o:spt="202" path="m,l,21600r21600,l21600,xe">
                <v:stroke joinstyle="miter"/>
                <v:path gradientshapeok="t" o:connecttype="rect"/>
              </v:shapetype>
              <v:shape id="Textfeld 3" o:spid="_x0000_s1026" type="#_x0000_t202" style="position:absolute;left:0;text-align:left;margin-left:-41pt;margin-top:-.25pt;width:92.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" fillcolor="window" strokecolor="window" strokeweight="2pt">
                <v:textbox>
                  <w:txbxContent>
                    <w:p w:rsidR="00A06AB4" w:rsidRPr="000D2DB2" w:rsidRDefault="00A06AB4" w:rsidP="00A06AB4">
                      <w:pPr>
                        <w:rPr>
                          <w:rFonts w:ascii="Century Gothic" w:hAnsi="Century Gothic"/>
                          <w:b/>
                          <w:sz w:val="16"/>
                          <w:szCs w:val="16"/>
                        </w:rPr>
                      </w:pPr>
                      <w:r>
                        <w:rPr>
                          <w:rFonts w:ascii="Century Gothic" w:hAnsi="Century Gothic"/>
                          <w:b/>
                          <w:sz w:val="16"/>
                          <w:szCs w:val="16"/>
                        </w:rPr>
                        <w:t>G</w:t>
                      </w:r>
                      <w:r w:rsidRPr="000D2DB2">
                        <w:rPr>
                          <w:rFonts w:ascii="Century Gothic" w:hAnsi="Century Gothic"/>
                          <w:b/>
                          <w:sz w:val="16"/>
                          <w:szCs w:val="16"/>
                        </w:rPr>
                        <w:t xml:space="preserve">GS Am </w:t>
                      </w:r>
                      <w:proofErr w:type="spellStart"/>
                      <w:r w:rsidRPr="000D2DB2">
                        <w:rPr>
                          <w:rFonts w:ascii="Century Gothic" w:hAnsi="Century Gothic"/>
                          <w:b/>
                          <w:sz w:val="16"/>
                          <w:szCs w:val="16"/>
                        </w:rPr>
                        <w:t>Haidekamp</w:t>
                      </w:r>
                      <w:proofErr w:type="spellEnd"/>
                    </w:p>
                  </w:txbxContent>
                </v:textbox>
              </v:shape>
            </w:pict>
          </mc:Fallback>
        </mc:AlternateContent>
      </w:r>
      <w:r w:rsidRPr="00A06AB4">
        <w:rPr>
          <w:rFonts w:ascii="Arial" w:eastAsia="Times New Roman" w:hAnsi="Arial" w:cs="Arial"/>
          <w:noProof/>
          <w:sz w:val="16"/>
          <w:szCs w:val="16"/>
        </w:rPr>
        <w:drawing>
          <wp:anchor distT="0" distB="0" distL="114300" distR="114300" simplePos="0" relativeHeight="251658752" behindDoc="0" locked="0" layoutInCell="1" allowOverlap="1" wp14:anchorId="2EB575ED" wp14:editId="0279E2C3">
            <wp:simplePos x="0" y="0"/>
            <wp:positionH relativeFrom="column">
              <wp:posOffset>-333375</wp:posOffset>
            </wp:positionH>
            <wp:positionV relativeFrom="paragraph">
              <wp:posOffset>129540</wp:posOffset>
            </wp:positionV>
            <wp:extent cx="704850" cy="587375"/>
            <wp:effectExtent l="0" t="0" r="0" b="3175"/>
            <wp:wrapSquare wrapText="bothSides"/>
            <wp:docPr id="11" name="Bild 6" descr="Logo der Schule">
              <a:hlinkClick xmlns:a="http://schemas.openxmlformats.org/drawingml/2006/main" r:id="rId5"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der Schule">
                      <a:hlinkClick r:id="rId5" tooltip="&quot;Zur Startseit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587375"/>
                    </a:xfrm>
                    <a:prstGeom prst="rect">
                      <a:avLst/>
                    </a:prstGeom>
                    <a:noFill/>
                  </pic:spPr>
                </pic:pic>
              </a:graphicData>
            </a:graphic>
            <wp14:sizeRelH relativeFrom="page">
              <wp14:pctWidth>0</wp14:pctWidth>
            </wp14:sizeRelH>
            <wp14:sizeRelV relativeFrom="page">
              <wp14:pctHeight>0</wp14:pctHeight>
            </wp14:sizeRelV>
          </wp:anchor>
        </w:drawing>
      </w:r>
      <w:r w:rsidRPr="00A06AB4">
        <w:rPr>
          <w:rFonts w:ascii="Arial" w:eastAsia="Times New Roman" w:hAnsi="Arial" w:cs="Arial"/>
          <w:noProof/>
          <w:sz w:val="16"/>
          <w:szCs w:val="16"/>
        </w:rPr>
        <w:drawing>
          <wp:anchor distT="0" distB="0" distL="114300" distR="114300" simplePos="0" relativeHeight="251661824" behindDoc="1" locked="0" layoutInCell="1" allowOverlap="1" wp14:anchorId="384B21C2" wp14:editId="355AD8E8">
            <wp:simplePos x="0" y="0"/>
            <wp:positionH relativeFrom="column">
              <wp:posOffset>4965700</wp:posOffset>
            </wp:positionH>
            <wp:positionV relativeFrom="paragraph">
              <wp:posOffset>0</wp:posOffset>
            </wp:positionV>
            <wp:extent cx="892810" cy="840740"/>
            <wp:effectExtent l="0" t="0" r="2540" b="0"/>
            <wp:wrapTight wrapText="bothSides">
              <wp:wrapPolygon edited="0">
                <wp:start x="0" y="0"/>
                <wp:lineTo x="0" y="21045"/>
                <wp:lineTo x="21201" y="21045"/>
                <wp:lineTo x="21201" y="0"/>
                <wp:lineTo x="0" y="0"/>
              </wp:wrapPolygon>
            </wp:wrapTight>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840740"/>
                    </a:xfrm>
                    <a:prstGeom prst="rect">
                      <a:avLst/>
                    </a:prstGeom>
                    <a:noFill/>
                  </pic:spPr>
                </pic:pic>
              </a:graphicData>
            </a:graphic>
            <wp14:sizeRelH relativeFrom="page">
              <wp14:pctWidth>0</wp14:pctWidth>
            </wp14:sizeRelH>
            <wp14:sizeRelV relativeFrom="page">
              <wp14:pctHeight>0</wp14:pctHeight>
            </wp14:sizeRelV>
          </wp:anchor>
        </w:drawing>
      </w:r>
      <w:r w:rsidRPr="00A06AB4">
        <w:rPr>
          <w:rFonts w:ascii="Century Gothic" w:eastAsia="Times New Roman" w:hAnsi="Century Gothic" w:cs="Arial"/>
          <w:b/>
          <w:sz w:val="16"/>
          <w:szCs w:val="16"/>
        </w:rPr>
        <w:t xml:space="preserve">                     </w:t>
      </w:r>
      <w:r w:rsidRPr="00A06AB4">
        <w:rPr>
          <w:rFonts w:ascii="Century Gothic" w:eastAsia="Times New Roman" w:hAnsi="Century Gothic" w:cs="Arial"/>
          <w:b/>
          <w:sz w:val="16"/>
          <w:szCs w:val="16"/>
          <w:u w:val="single"/>
        </w:rPr>
        <w:t xml:space="preserve">GGS Am </w:t>
      </w:r>
      <w:proofErr w:type="spellStart"/>
      <w:r w:rsidRPr="00A06AB4">
        <w:rPr>
          <w:rFonts w:ascii="Century Gothic" w:eastAsia="Times New Roman" w:hAnsi="Century Gothic" w:cs="Arial"/>
          <w:b/>
          <w:sz w:val="16"/>
          <w:szCs w:val="16"/>
          <w:u w:val="single"/>
        </w:rPr>
        <w:t>Haidekamp</w:t>
      </w:r>
      <w:proofErr w:type="spellEnd"/>
    </w:p>
    <w:p w:rsidR="00A06AB4" w:rsidRPr="00A06AB4" w:rsidRDefault="00A06AB4" w:rsidP="00A06AB4">
      <w:pPr>
        <w:rPr>
          <w:rFonts w:ascii="Century Gothic" w:eastAsia="Times New Roman" w:hAnsi="Century Gothic" w:cs="Arial"/>
          <w:b/>
          <w:sz w:val="16"/>
          <w:szCs w:val="16"/>
        </w:rPr>
      </w:pPr>
      <w:r w:rsidRPr="00A06AB4">
        <w:rPr>
          <w:rFonts w:ascii="Century Gothic" w:eastAsia="Times New Roman" w:hAnsi="Century Gothic" w:cs="Arial"/>
          <w:b/>
          <w:sz w:val="16"/>
          <w:szCs w:val="16"/>
        </w:rPr>
        <w:t xml:space="preserve">                                     Städtische Gemeinschaftsschule der Primarstufe</w:t>
      </w:r>
    </w:p>
    <w:p w:rsidR="00A06AB4" w:rsidRPr="00A06AB4" w:rsidRDefault="00A06AB4" w:rsidP="00A06AB4">
      <w:pPr>
        <w:jc w:val="center"/>
        <w:rPr>
          <w:rFonts w:ascii="Century Gothic" w:eastAsia="Times New Roman" w:hAnsi="Century Gothic" w:cs="Arial"/>
          <w:b/>
          <w:sz w:val="16"/>
          <w:szCs w:val="16"/>
        </w:rPr>
      </w:pPr>
      <w:proofErr w:type="spellStart"/>
      <w:r w:rsidRPr="00A06AB4">
        <w:rPr>
          <w:rFonts w:ascii="Century Gothic" w:eastAsia="Times New Roman" w:hAnsi="Century Gothic" w:cs="Arial"/>
          <w:sz w:val="16"/>
          <w:szCs w:val="16"/>
        </w:rPr>
        <w:t>Haidekamp</w:t>
      </w:r>
      <w:proofErr w:type="spellEnd"/>
      <w:r w:rsidRPr="00A06AB4">
        <w:rPr>
          <w:rFonts w:ascii="Century Gothic" w:eastAsia="Times New Roman" w:hAnsi="Century Gothic" w:cs="Arial"/>
          <w:sz w:val="16"/>
          <w:szCs w:val="16"/>
        </w:rPr>
        <w:t xml:space="preserve"> 69, 45886 Gelsenkirchen</w:t>
      </w:r>
    </w:p>
    <w:p w:rsidR="00A06AB4" w:rsidRPr="00A06AB4" w:rsidRDefault="00A06AB4" w:rsidP="00A06AB4">
      <w:pPr>
        <w:jc w:val="center"/>
        <w:rPr>
          <w:rFonts w:ascii="Century Gothic" w:eastAsia="Times New Roman" w:hAnsi="Century Gothic" w:cs="Arial"/>
          <w:sz w:val="16"/>
          <w:szCs w:val="16"/>
        </w:rPr>
      </w:pPr>
      <w:r w:rsidRPr="00A06AB4">
        <w:rPr>
          <w:rFonts w:ascii="Century Gothic" w:eastAsia="Times New Roman" w:hAnsi="Century Gothic" w:cs="Arial"/>
          <w:sz w:val="16"/>
          <w:szCs w:val="16"/>
        </w:rPr>
        <w:t>Tel.: 0209 / 141305      Fax: 0209 / 1479808</w:t>
      </w:r>
    </w:p>
    <w:p w:rsidR="00A06AB4" w:rsidRPr="00A06AB4" w:rsidRDefault="00A06AB4" w:rsidP="00A06AB4">
      <w:pPr>
        <w:tabs>
          <w:tab w:val="left" w:pos="-142"/>
          <w:tab w:val="left" w:pos="1701"/>
          <w:tab w:val="left" w:pos="1843"/>
          <w:tab w:val="left" w:pos="2790"/>
        </w:tabs>
        <w:ind w:left="-142"/>
        <w:jc w:val="center"/>
        <w:rPr>
          <w:rFonts w:ascii="Century Gothic" w:eastAsia="Times New Roman" w:hAnsi="Century Gothic" w:cs="Arial"/>
          <w:b/>
          <w:sz w:val="16"/>
          <w:szCs w:val="16"/>
        </w:rPr>
      </w:pPr>
      <w:r w:rsidRPr="00A06AB4">
        <w:rPr>
          <w:rFonts w:ascii="Century Gothic" w:eastAsia="Times New Roman" w:hAnsi="Century Gothic" w:cs="Arial"/>
          <w:sz w:val="16"/>
          <w:szCs w:val="16"/>
        </w:rPr>
        <w:t>E-Mail: 119234@schule.nrw.de</w:t>
      </w:r>
    </w:p>
    <w:p w:rsidR="00A06AB4" w:rsidRPr="00A06AB4" w:rsidRDefault="00A06AB4" w:rsidP="00A06AB4">
      <w:pPr>
        <w:keepNext/>
        <w:keepLines/>
        <w:tabs>
          <w:tab w:val="left" w:pos="180"/>
          <w:tab w:val="center" w:pos="3465"/>
        </w:tabs>
        <w:spacing w:line="259" w:lineRule="auto"/>
        <w:outlineLvl w:val="0"/>
        <w:rPr>
          <w:rFonts w:ascii="Arial" w:eastAsia="Times New Roman" w:hAnsi="Arial" w:cs="Arial"/>
          <w:color w:val="2F5496"/>
          <w:sz w:val="16"/>
          <w:szCs w:val="16"/>
          <w:lang w:eastAsia="en-US"/>
        </w:rPr>
      </w:pPr>
    </w:p>
    <w:p w:rsidR="00A06AB4" w:rsidRPr="00A06AB4" w:rsidRDefault="00A06AB4" w:rsidP="00A06AB4">
      <w:pPr>
        <w:tabs>
          <w:tab w:val="left" w:pos="2880"/>
        </w:tabs>
        <w:spacing w:after="160" w:line="259" w:lineRule="auto"/>
        <w:rPr>
          <w:rFonts w:ascii="Calibri" w:eastAsia="Calibri" w:hAnsi="Calibri" w:cs="Times New Roman"/>
          <w:sz w:val="22"/>
          <w:szCs w:val="22"/>
          <w:lang w:eastAsia="en-US"/>
        </w:rPr>
      </w:pPr>
      <w:r w:rsidRPr="00A06AB4">
        <w:rPr>
          <w:rFonts w:ascii="Calibri" w:eastAsia="Calibri" w:hAnsi="Calibri" w:cs="Times New Roman"/>
          <w:sz w:val="22"/>
          <w:szCs w:val="22"/>
          <w:lang w:eastAsia="en-US"/>
        </w:rPr>
        <w:tab/>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r w:rsidRPr="00A06AB4">
        <w:rPr>
          <w:rFonts w:ascii="Arial" w:eastAsia="Times New Roman" w:hAnsi="Arial" w:cs="Times New Roman"/>
          <w:noProof/>
          <w:sz w:val="20"/>
          <w:szCs w:val="20"/>
        </w:rPr>
        <w:t xml:space="preserve">Sehr geehrter Arbeitgeber, </w:t>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r w:rsidRPr="00A06AB4">
        <w:rPr>
          <w:rFonts w:ascii="Arial" w:eastAsia="Times New Roman" w:hAnsi="Arial" w:cs="Times New Roman"/>
          <w:noProof/>
          <w:sz w:val="20"/>
          <w:szCs w:val="20"/>
        </w:rPr>
        <w:t xml:space="preserve">ab dem 16. März 2020 sind alle schulischen Gemeinschaftseinrichtungen im Land Nordrhein-Westfalen zunächst bis zum 19. April 2020 nach aufsichlicher Weisung des Ministeriums für Arbeit, Gesundheit und Soziales vom 13.03.2020 zur Verhinderung der weiteren Ausbreitung von SARS-CoV-2 (Corona-Virus) geschlossen. In einer Übergangszeit vom 16. bis 17. März 2020 können die Personensorgeberechtigten ihre Kinder in der Schule betreuen lassen und die weitere Betreuung ihrer Kinder regeln. Ab dem 18. März 2020 gibt es an allen Gelsenkirchener Grundschulen lediglich eine Notbetreuung für Kinder, deren Sorgeberechtigte in einer kritischen Infrastruktur tätig sind.  </w:t>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r w:rsidRPr="00A06AB4">
        <w:rPr>
          <w:rFonts w:ascii="Arial" w:eastAsia="Times New Roman" w:hAnsi="Arial" w:cs="Times New Roman"/>
          <w:noProof/>
          <w:sz w:val="20"/>
          <w:szCs w:val="20"/>
        </w:rPr>
        <w:t xml:space="preserve">Hierzu gehören laut „Leitlinie des Personals kritischer Infrastrukturen“des Ministeriums für Arbeit, Gesundheit und Soziales vom 15.03.2020: </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 xml:space="preserve"> Energie </w:t>
      </w:r>
      <w:r w:rsidRPr="00A06AB4">
        <w:rPr>
          <w:rFonts w:ascii="Arial" w:eastAsia="Times New Roman" w:hAnsi="Arial" w:cs="Times New Roman"/>
          <w:noProof/>
          <w:sz w:val="20"/>
          <w:szCs w:val="20"/>
        </w:rPr>
        <w:br/>
        <w:t>- Strom, Gas, Kraftstoffversorgung (inklusive Logistik)</w:t>
      </w:r>
      <w:r w:rsidRPr="00A06AB4">
        <w:rPr>
          <w:rFonts w:ascii="Arial" w:eastAsia="Times New Roman" w:hAnsi="Arial" w:cs="Times New Roman"/>
          <w:noProof/>
          <w:sz w:val="20"/>
          <w:szCs w:val="20"/>
        </w:rPr>
        <w:br/>
        <w:t>- insbesondere Einrichtungen zur Entstörung und Aufrechterhaltung der Netze</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Wasser, Entsorgung</w:t>
      </w:r>
      <w:r w:rsidRPr="00A06AB4">
        <w:rPr>
          <w:rFonts w:ascii="Arial" w:eastAsia="Times New Roman" w:hAnsi="Arial" w:cs="Times New Roman"/>
          <w:noProof/>
          <w:sz w:val="20"/>
          <w:szCs w:val="20"/>
        </w:rPr>
        <w:br/>
        <w:t>- hoheitliche und privatrechtliche Wasserversorgung</w:t>
      </w:r>
      <w:r w:rsidRPr="00A06AB4">
        <w:rPr>
          <w:rFonts w:ascii="Arial" w:eastAsia="Times New Roman" w:hAnsi="Arial" w:cs="Times New Roman"/>
          <w:noProof/>
          <w:sz w:val="20"/>
          <w:szCs w:val="20"/>
        </w:rPr>
        <w:br/>
        <w:t>- insbesondere Einrichtungen zur Entstörung und Aufrechterhaltung der Netze</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Ernährung, Hygiene</w:t>
      </w:r>
      <w:r w:rsidRPr="00A06AB4">
        <w:rPr>
          <w:rFonts w:ascii="Arial" w:eastAsia="Times New Roman" w:hAnsi="Arial" w:cs="Times New Roman"/>
          <w:noProof/>
          <w:sz w:val="20"/>
          <w:szCs w:val="20"/>
        </w:rPr>
        <w:br/>
        <w:t>- Produktion, Groß- und Einzelhandel (inklusive Zulieferung und Logistik)</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Informationstechnik und Telekommunikation</w:t>
      </w:r>
      <w:r w:rsidRPr="00A06AB4">
        <w:rPr>
          <w:rFonts w:ascii="Arial" w:eastAsia="Times New Roman" w:hAnsi="Arial" w:cs="Times New Roman"/>
          <w:noProof/>
          <w:sz w:val="20"/>
          <w:szCs w:val="20"/>
        </w:rPr>
        <w:br/>
        <w:t>- insbesondere Einrichtungen zur Entstörung und Aufrechterhaltung der Netze</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Gesundheit</w:t>
      </w:r>
      <w:r w:rsidRPr="00A06AB4">
        <w:rPr>
          <w:rFonts w:ascii="Arial" w:eastAsia="Times New Roman" w:hAnsi="Arial" w:cs="Times New Roman"/>
          <w:noProof/>
          <w:sz w:val="20"/>
          <w:szCs w:val="20"/>
        </w:rPr>
        <w:br/>
        <w:t>- insbesondere Krankenhäuser, Rettungsdienst, Pflege, niedergelassener Bereich, Medizinproduktehersteller, Arzneimittelhersteller, Apotheken, Labore</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Finanz- und Wirtschaftswesen</w:t>
      </w:r>
      <w:r w:rsidRPr="00A06AB4">
        <w:rPr>
          <w:rFonts w:ascii="Arial" w:eastAsia="Times New Roman" w:hAnsi="Arial" w:cs="Times New Roman"/>
          <w:noProof/>
          <w:sz w:val="20"/>
          <w:szCs w:val="20"/>
        </w:rPr>
        <w:br/>
        <w:t>- insbesondere Kreditversorgung der Unternehmen, Bargeldversorgung, Sozialtransfers</w:t>
      </w:r>
      <w:r w:rsidRPr="00A06AB4">
        <w:rPr>
          <w:rFonts w:ascii="Arial" w:eastAsia="Times New Roman" w:hAnsi="Arial" w:cs="Times New Roman"/>
          <w:noProof/>
          <w:sz w:val="20"/>
          <w:szCs w:val="20"/>
        </w:rPr>
        <w:br/>
        <w:t>- Personal der Bundesagentur für Arbeit und Jobcenter zur Aufrechterhaltung des Dienstbetriebs (insbesondere Auszahlung des Kurzarbeitergeldes)</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Transport und Verkehr</w:t>
      </w:r>
      <w:r w:rsidRPr="00A06AB4">
        <w:rPr>
          <w:rFonts w:ascii="Arial" w:eastAsia="Times New Roman" w:hAnsi="Arial" w:cs="Times New Roman"/>
          <w:noProof/>
          <w:sz w:val="20"/>
          <w:szCs w:val="20"/>
        </w:rPr>
        <w:br/>
        <w:t>- insbesondere Betrieb für kritische Infrastrukturen, öffentlicher Personennah- und Personenfern- und Güterverkehr</w:t>
      </w:r>
      <w:r w:rsidRPr="00A06AB4">
        <w:rPr>
          <w:rFonts w:ascii="Arial" w:eastAsia="Times New Roman" w:hAnsi="Arial" w:cs="Times New Roman"/>
          <w:noProof/>
          <w:sz w:val="20"/>
          <w:szCs w:val="20"/>
        </w:rPr>
        <w:br/>
        <w:t>- Personal der Deutschen Bahn und nicht-bundeseigenen Eisenbahnen zur Aufrechterhaltung des Dienstbetriebs</w:t>
      </w:r>
      <w:r w:rsidRPr="00A06AB4">
        <w:rPr>
          <w:rFonts w:ascii="Arial" w:eastAsia="Times New Roman" w:hAnsi="Arial" w:cs="Times New Roman"/>
          <w:noProof/>
          <w:sz w:val="20"/>
          <w:szCs w:val="20"/>
        </w:rPr>
        <w:br/>
        <w:t>- Personal zur Aufrechterhaltung des Flug- und Schiffsverkehrs</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Medien</w:t>
      </w:r>
      <w:r w:rsidRPr="00A06AB4">
        <w:rPr>
          <w:rFonts w:ascii="Arial" w:eastAsia="Times New Roman" w:hAnsi="Arial" w:cs="Times New Roman"/>
          <w:noProof/>
          <w:sz w:val="20"/>
          <w:szCs w:val="20"/>
        </w:rPr>
        <w:br/>
        <w:t>- insbesondere Nachrichten- und Informationswesen sowie Risiko- und Krisenkommunikation</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Staatliche Verwaltung (Bund, Land, Kommune)</w:t>
      </w:r>
      <w:r w:rsidRPr="00A06AB4">
        <w:rPr>
          <w:rFonts w:ascii="Arial" w:eastAsia="Times New Roman" w:hAnsi="Arial" w:cs="Times New Roman"/>
          <w:noProof/>
          <w:sz w:val="20"/>
          <w:szCs w:val="20"/>
        </w:rPr>
        <w:br/>
        <w:t>- Kernaufgaben der öffentlichen Verwaltung und Justiz, Polizei, Feuerwehr, Katastrophenschutz, Justizvollzug, Veterinärwesens, Lebensmittelkontrolle, Asyl- und Flüchtlingswesen einschließlich Abschiebungshaft, Verfassungsschutz, aufsichtliche Aufgaben sowie Hochschulen und sonstige wissenschaftlichen Einrichtungen, soweit sie für den Betrieb von sicherheitsrelevanten Einrichtungen oder unverzichtbaren Aufgaben zuständig sind</w:t>
      </w:r>
      <w:r w:rsidRPr="00A06AB4">
        <w:rPr>
          <w:rFonts w:ascii="Arial" w:eastAsia="Times New Roman" w:hAnsi="Arial" w:cs="Times New Roman"/>
          <w:noProof/>
          <w:sz w:val="20"/>
          <w:szCs w:val="20"/>
        </w:rPr>
        <w:br/>
        <w:t>- Gesetzgebung, Parlament</w:t>
      </w:r>
    </w:p>
    <w:p w:rsidR="00A06AB4" w:rsidRPr="00A06AB4" w:rsidRDefault="00A06AB4" w:rsidP="00A06AB4">
      <w:pPr>
        <w:numPr>
          <w:ilvl w:val="0"/>
          <w:numId w:val="1"/>
        </w:numPr>
        <w:pBdr>
          <w:top w:val="single" w:sz="4" w:space="0" w:color="auto"/>
          <w:left w:val="single" w:sz="4" w:space="4" w:color="auto"/>
          <w:bottom w:val="single" w:sz="4" w:space="1" w:color="auto"/>
          <w:right w:val="single" w:sz="4" w:space="12" w:color="auto"/>
        </w:pBdr>
        <w:rPr>
          <w:rFonts w:ascii="Arial" w:eastAsia="Times New Roman" w:hAnsi="Arial" w:cs="Times New Roman"/>
          <w:noProof/>
          <w:sz w:val="20"/>
          <w:szCs w:val="20"/>
        </w:rPr>
      </w:pPr>
      <w:r w:rsidRPr="00A06AB4">
        <w:rPr>
          <w:rFonts w:ascii="Arial" w:eastAsia="Times New Roman" w:hAnsi="Arial" w:cs="Times New Roman"/>
          <w:noProof/>
          <w:sz w:val="20"/>
          <w:szCs w:val="20"/>
        </w:rPr>
        <w:t>Schulen, Kinder- und Jugendhilfe, Behindertenhilfe</w:t>
      </w:r>
      <w:r w:rsidRPr="00A06AB4">
        <w:rPr>
          <w:rFonts w:ascii="Arial" w:eastAsia="Times New Roman" w:hAnsi="Arial" w:cs="Times New Roman"/>
          <w:noProof/>
          <w:sz w:val="20"/>
          <w:szCs w:val="20"/>
        </w:rPr>
        <w:br/>
        <w:t>- Sicherstellung notwendiger Betreuung in Schulen, Kindertageseinrichtungen, Kindertagespflege, stationären Einrichtungen der Kinder- und Jugendhilfe und Einrichtungen für Menschen mit Behinderungen</w:t>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r w:rsidRPr="00A06AB4">
        <w:rPr>
          <w:rFonts w:ascii="Arial" w:eastAsia="Times New Roman" w:hAnsi="Arial" w:cs="Times New Roman"/>
          <w:noProof/>
          <w:sz w:val="20"/>
          <w:szCs w:val="20"/>
        </w:rPr>
        <w:t>Wir bitten um Prüfung, ob die Kriterien auf Ihr Unternehmen zutreffen und ob Ihre Mitarbeiterin/Ihr Mitarbeiter dergestalt beschäftigt werden kann, dass sie/er die Betreuung des Kindes übernehmen kann. Sollte dies nicht der Fall sein, bitten wir um Ausstellung der umseitigen Erklärung.</w:t>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r w:rsidRPr="00A06AB4">
        <w:rPr>
          <w:rFonts w:ascii="Arial" w:eastAsia="Times New Roman" w:hAnsi="Arial" w:cs="Times New Roman"/>
          <w:noProof/>
          <w:sz w:val="20"/>
          <w:szCs w:val="20"/>
        </w:rPr>
        <w:t xml:space="preserve">Wir danken für die Kooperation! </w:t>
      </w: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p>
    <w:p w:rsidR="00A06AB4" w:rsidRPr="00A06AB4" w:rsidRDefault="00A06AB4" w:rsidP="00A06AB4">
      <w:pPr>
        <w:pBdr>
          <w:top w:val="single" w:sz="4" w:space="0" w:color="auto"/>
          <w:left w:val="single" w:sz="4" w:space="4" w:color="auto"/>
          <w:bottom w:val="single" w:sz="4" w:space="1" w:color="auto"/>
          <w:right w:val="single" w:sz="4" w:space="12" w:color="auto"/>
        </w:pBdr>
        <w:ind w:left="-426"/>
        <w:rPr>
          <w:rFonts w:ascii="Arial" w:eastAsia="Times New Roman" w:hAnsi="Arial" w:cs="Times New Roman"/>
          <w:noProof/>
          <w:sz w:val="20"/>
          <w:szCs w:val="20"/>
        </w:rPr>
      </w:pP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Bitte umseitige Erklärung ausgefüllt bis zum 18.03.2020 an der Schule des Kindes abgeben! </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jc w:val="center"/>
        <w:rPr>
          <w:rFonts w:ascii="Arial" w:eastAsia="Times New Roman" w:hAnsi="Arial" w:cs="Times New Roman"/>
          <w:b/>
          <w:sz w:val="22"/>
          <w:szCs w:val="20"/>
        </w:rPr>
      </w:pPr>
      <w:r w:rsidRPr="00A06AB4">
        <w:rPr>
          <w:rFonts w:ascii="Arial" w:eastAsia="Times New Roman" w:hAnsi="Arial" w:cs="Times New Roman"/>
          <w:b/>
          <w:sz w:val="22"/>
          <w:szCs w:val="20"/>
        </w:rPr>
        <w:t>Erklärung des Arbeitgebers über die Unabkömmlichkeit des Arbeitnehmers</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Familienname Arbeitnehmer/in: 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Vorname Arbeitnehmer/in: 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Adresse Arbeitnehmer/in: __________________________________________________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Name und Anschrift des Arbeitgebers: </w:t>
      </w:r>
      <w:r w:rsidRPr="00A06AB4">
        <w:rPr>
          <w:rFonts w:ascii="Arial" w:eastAsia="Times New Roman" w:hAnsi="Arial" w:cs="Times New Roman"/>
          <w:sz w:val="21"/>
          <w:szCs w:val="21"/>
        </w:rPr>
        <w:br/>
      </w: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_______________________________________________________________________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_______________________________________________________________________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Unser Unternehmen/unsere Einrichtung gehört zu einer kritischen Infrastruktur laut umseitig abgedruckter Leitlinie im Sektor </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Energie</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Wasser, Entsorgung</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Ernährung, Hygiene</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Informationstechnik und Telekommunikation</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Gesundheit</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Finanz- und Wirtschaftswesen</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Transport und Verkehr</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Medien</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Staatliche Verwaltung</w:t>
      </w:r>
    </w:p>
    <w:p w:rsidR="00A06AB4" w:rsidRPr="00A06AB4" w:rsidRDefault="00A06AB4" w:rsidP="00A06AB4">
      <w:pPr>
        <w:numPr>
          <w:ilvl w:val="0"/>
          <w:numId w:val="2"/>
        </w:numPr>
        <w:rPr>
          <w:rFonts w:ascii="Arial" w:eastAsia="Times New Roman" w:hAnsi="Arial" w:cs="Times New Roman"/>
          <w:sz w:val="21"/>
          <w:szCs w:val="21"/>
        </w:rPr>
      </w:pPr>
      <w:r w:rsidRPr="00A06AB4">
        <w:rPr>
          <w:rFonts w:ascii="Arial" w:eastAsia="Times New Roman" w:hAnsi="Arial" w:cs="Times New Roman"/>
          <w:sz w:val="21"/>
          <w:szCs w:val="21"/>
        </w:rPr>
        <w:t>Schulen, Kinder- und Jugendhilfe, Behindertenhilfe</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Die o.g. Person ist in unserem Unternehmen/unserer Einrichtung als _______________________</w:t>
      </w: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beschäftigt (Funktion). </w:t>
      </w:r>
    </w:p>
    <w:p w:rsidR="00A06AB4" w:rsidRPr="00A06AB4" w:rsidRDefault="00A06AB4" w:rsidP="00A06AB4">
      <w:pPr>
        <w:rPr>
          <w:rFonts w:ascii="Arial" w:eastAsia="Times New Roman" w:hAnsi="Arial" w:cs="Times New Roman"/>
          <w:sz w:val="10"/>
          <w:szCs w:val="10"/>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Eine Anwesenheit im Unternehmen/in der Einrichtung ist </w:t>
      </w:r>
      <w:proofErr w:type="gramStart"/>
      <w:r w:rsidRPr="00A06AB4">
        <w:rPr>
          <w:rFonts w:ascii="Arial" w:eastAsia="Times New Roman" w:hAnsi="Arial" w:cs="Times New Roman"/>
          <w:sz w:val="21"/>
          <w:szCs w:val="21"/>
        </w:rPr>
        <w:t>aus folgendem</w:t>
      </w:r>
      <w:proofErr w:type="gramEnd"/>
      <w:r w:rsidRPr="00A06AB4">
        <w:rPr>
          <w:rFonts w:ascii="Arial" w:eastAsia="Times New Roman" w:hAnsi="Arial" w:cs="Times New Roman"/>
          <w:sz w:val="21"/>
          <w:szCs w:val="21"/>
        </w:rPr>
        <w:t xml:space="preserve"> Grund zwingend nötig: </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_______________________________________________________________________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_______________________________________________________________________</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 xml:space="preserve">Die Ermöglichung flexibler Arbeitszeiten oder Arbeitsgestaltung (Homeoffice, Mobiles Arbeiten) kann nicht gewährleistet werden, um die Betreuung des Kindes/der Kinder sicherzustellen. </w:t>
      </w: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______________________________</w:t>
      </w:r>
      <w:r w:rsidRPr="00A06AB4">
        <w:rPr>
          <w:rFonts w:ascii="Arial" w:eastAsia="Times New Roman" w:hAnsi="Arial" w:cs="Times New Roman"/>
          <w:sz w:val="21"/>
          <w:szCs w:val="21"/>
        </w:rPr>
        <w:tab/>
      </w:r>
      <w:r w:rsidRPr="00A06AB4">
        <w:rPr>
          <w:rFonts w:ascii="Arial" w:eastAsia="Times New Roman" w:hAnsi="Arial" w:cs="Times New Roman"/>
          <w:sz w:val="21"/>
          <w:szCs w:val="21"/>
        </w:rPr>
        <w:tab/>
        <w:t>____________________________________</w:t>
      </w:r>
    </w:p>
    <w:p w:rsidR="00A06AB4" w:rsidRPr="00A06AB4" w:rsidRDefault="00A06AB4" w:rsidP="00A06AB4">
      <w:pPr>
        <w:rPr>
          <w:rFonts w:ascii="Arial" w:eastAsia="Times New Roman" w:hAnsi="Arial" w:cs="Times New Roman"/>
          <w:sz w:val="21"/>
          <w:szCs w:val="21"/>
        </w:rPr>
      </w:pPr>
      <w:r w:rsidRPr="00A06AB4">
        <w:rPr>
          <w:rFonts w:ascii="Arial" w:eastAsia="Times New Roman" w:hAnsi="Arial" w:cs="Times New Roman"/>
          <w:sz w:val="21"/>
          <w:szCs w:val="21"/>
        </w:rPr>
        <w:t>Datum und Stempel</w:t>
      </w:r>
      <w:r w:rsidRPr="00A06AB4">
        <w:rPr>
          <w:rFonts w:ascii="Arial" w:eastAsia="Times New Roman" w:hAnsi="Arial" w:cs="Times New Roman"/>
          <w:sz w:val="21"/>
          <w:szCs w:val="21"/>
        </w:rPr>
        <w:tab/>
      </w:r>
      <w:r w:rsidRPr="00A06AB4">
        <w:rPr>
          <w:rFonts w:ascii="Arial" w:eastAsia="Times New Roman" w:hAnsi="Arial" w:cs="Times New Roman"/>
          <w:sz w:val="21"/>
          <w:szCs w:val="21"/>
        </w:rPr>
        <w:tab/>
      </w:r>
      <w:r w:rsidRPr="00A06AB4">
        <w:rPr>
          <w:rFonts w:ascii="Arial" w:eastAsia="Times New Roman" w:hAnsi="Arial" w:cs="Times New Roman"/>
          <w:sz w:val="21"/>
          <w:szCs w:val="21"/>
        </w:rPr>
        <w:tab/>
      </w:r>
      <w:r w:rsidRPr="00A06AB4">
        <w:rPr>
          <w:rFonts w:ascii="Arial" w:eastAsia="Times New Roman" w:hAnsi="Arial" w:cs="Times New Roman"/>
          <w:sz w:val="21"/>
          <w:szCs w:val="21"/>
        </w:rPr>
        <w:tab/>
      </w:r>
      <w:r w:rsidR="00B25005">
        <w:rPr>
          <w:rFonts w:ascii="Arial" w:eastAsia="Times New Roman" w:hAnsi="Arial" w:cs="Times New Roman"/>
          <w:sz w:val="21"/>
          <w:szCs w:val="21"/>
        </w:rPr>
        <w:t>Unterschrift Arbeitgeber</w:t>
      </w:r>
      <w:bookmarkStart w:id="0" w:name="_GoBack"/>
      <w:bookmarkEnd w:id="0"/>
    </w:p>
    <w:p w:rsidR="00184434" w:rsidRPr="00184434" w:rsidRDefault="00184434" w:rsidP="00184434"/>
    <w:sectPr w:rsidR="00184434" w:rsidRPr="00184434" w:rsidSect="00A06AB4">
      <w:pgSz w:w="11906" w:h="16838"/>
      <w:pgMar w:top="851" w:right="1418"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0CBF"/>
    <w:multiLevelType w:val="hybridMultilevel"/>
    <w:tmpl w:val="71B21984"/>
    <w:lvl w:ilvl="0" w:tplc="80FA5EE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3671B6"/>
    <w:multiLevelType w:val="hybridMultilevel"/>
    <w:tmpl w:val="B3EE5566"/>
    <w:lvl w:ilvl="0" w:tplc="588C51F6">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16"/>
    <w:rsid w:val="00042F24"/>
    <w:rsid w:val="00184434"/>
    <w:rsid w:val="004318AC"/>
    <w:rsid w:val="00A06AB4"/>
    <w:rsid w:val="00A4425A"/>
    <w:rsid w:val="00B25005"/>
    <w:rsid w:val="00FF3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1DEC"/>
  <w15:chartTrackingRefBased/>
  <w15:docId w15:val="{22B30B9E-8F04-4643-8F12-54F44DF6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25A"/>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119234.schulen.gelsenkirchen.de/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66FB07F0.dotm</Template>
  <TotalTime>0</TotalTime>
  <Pages>2</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Wildbredt Gabriele</dc:creator>
  <cp:keywords/>
  <dc:description/>
  <cp:lastModifiedBy>Wildbredt Gabriele</cp:lastModifiedBy>
  <cp:revision>4</cp:revision>
  <dcterms:created xsi:type="dcterms:W3CDTF">2020-03-16T12:36:00Z</dcterms:created>
  <dcterms:modified xsi:type="dcterms:W3CDTF">2020-03-16T12:48:00Z</dcterms:modified>
</cp:coreProperties>
</file>